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F94C41">
        <w:rPr>
          <w:rFonts w:ascii="Calibri" w:hAnsi="Calibri" w:cs="Calibri"/>
          <w:color w:val="000000"/>
          <w:sz w:val="22"/>
          <w:szCs w:val="22"/>
        </w:rPr>
        <w:tab/>
      </w:r>
      <w:r w:rsidR="00F94C41">
        <w:rPr>
          <w:rFonts w:ascii="Calibri" w:hAnsi="Calibri" w:cs="Calibri"/>
          <w:color w:val="000000"/>
          <w:sz w:val="22"/>
          <w:szCs w:val="22"/>
        </w:rPr>
        <w:t>Kommunens diarienummer (om det finns något</w:t>
      </w:r>
      <w:proofErr w:type="gramStart"/>
      <w:r w:rsidR="00F94C41">
        <w:rPr>
          <w:rFonts w:ascii="Calibri" w:hAnsi="Calibri" w:cs="Calibri"/>
          <w:color w:val="000000"/>
          <w:sz w:val="22"/>
          <w:szCs w:val="22"/>
        </w:rPr>
        <w:t>):_</w:t>
      </w:r>
      <w:proofErr w:type="gramEnd"/>
      <w:r w:rsidR="00F94C41">
        <w:rPr>
          <w:rFonts w:ascii="Calibri" w:hAnsi="Calibri" w:cs="Calibri"/>
          <w:color w:val="000000"/>
          <w:sz w:val="22"/>
          <w:szCs w:val="22"/>
        </w:rPr>
        <w:t>___________________________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1D137E">
        <w:rPr>
          <w:color w:val="000000"/>
          <w:szCs w:val="24"/>
        </w:rPr>
        <w:t>____________________</w:t>
      </w:r>
      <w:r w:rsidR="001D137E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(BH):</w:t>
      </w:r>
      <w:r w:rsidR="009263FA">
        <w:rPr>
          <w:color w:val="000000"/>
          <w:szCs w:val="24"/>
        </w:rPr>
        <w:t>_________________</w:t>
      </w:r>
      <w:r w:rsidR="001D137E">
        <w:rPr>
          <w:color w:val="000000"/>
          <w:szCs w:val="24"/>
        </w:rPr>
        <w:t>_______</w:t>
      </w:r>
      <w:r w:rsidR="001D137E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:rsidTr="00CF67B9">
        <w:trPr>
          <w:trHeight w:val="897"/>
        </w:trPr>
        <w:tc>
          <w:tcPr>
            <w:tcW w:w="33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F67B9">
        <w:tc>
          <w:tcPr>
            <w:tcW w:w="3321" w:type="dxa"/>
          </w:tcPr>
          <w:p w:rsidR="00EB160B" w:rsidRPr="003A4B45" w:rsidRDefault="009263FA" w:rsidP="001C3D7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Överensstämmer med anmälan</w:t>
            </w:r>
          </w:p>
        </w:tc>
        <w:tc>
          <w:tcPr>
            <w:tcW w:w="1272" w:type="dxa"/>
          </w:tcPr>
          <w:p w:rsidR="00EB160B" w:rsidRPr="003A4B45" w:rsidRDefault="005D434A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:rsidR="00EB160B" w:rsidRPr="003A4B45" w:rsidRDefault="00F94C41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73604">
              <w:rPr>
                <w:szCs w:val="24"/>
              </w:rPr>
              <w:t>itning</w:t>
            </w:r>
            <w:r>
              <w:rPr>
                <w:szCs w:val="24"/>
              </w:rPr>
              <w:t>ar</w:t>
            </w:r>
          </w:p>
        </w:tc>
        <w:tc>
          <w:tcPr>
            <w:tcW w:w="1293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E37732" w:rsidRDefault="00E37732" w:rsidP="00E377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732">
              <w:rPr>
                <w:szCs w:val="24"/>
              </w:rPr>
              <w:t>I spillvatteninstallationer där vattnet kan innehålla mer än obetydliga mängder av skadliga ämnen,</w:t>
            </w:r>
            <w:r>
              <w:rPr>
                <w:szCs w:val="24"/>
              </w:rPr>
              <w:t xml:space="preserve"> </w:t>
            </w:r>
            <w:r w:rsidRPr="00E37732">
              <w:rPr>
                <w:szCs w:val="24"/>
              </w:rPr>
              <w:t>ska spillvattnet behandlas eller avskiljare installeras. Utformningen av avskiljare ska säkerställa att det</w:t>
            </w:r>
            <w:r>
              <w:rPr>
                <w:szCs w:val="24"/>
              </w:rPr>
              <w:t xml:space="preserve"> </w:t>
            </w:r>
            <w:r w:rsidRPr="00E37732">
              <w:rPr>
                <w:szCs w:val="24"/>
              </w:rPr>
              <w:t>avskilda inte kan släppas ut okontrollerat eller oavsiktligt.</w:t>
            </w:r>
          </w:p>
        </w:tc>
        <w:tc>
          <w:tcPr>
            <w:tcW w:w="1272" w:type="dxa"/>
          </w:tcPr>
          <w:p w:rsidR="00CF67B9" w:rsidRPr="00E37732" w:rsidRDefault="00E37732" w:rsidP="005D434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CF67B9" w:rsidRPr="00E37732" w:rsidRDefault="00E37732" w:rsidP="00E3773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:rsidR="00CF67B9" w:rsidRPr="00E37732" w:rsidRDefault="00E37732" w:rsidP="004C2341">
            <w:pPr>
              <w:spacing w:before="120" w:after="120"/>
              <w:rPr>
                <w:szCs w:val="24"/>
              </w:rPr>
            </w:pPr>
            <w:r w:rsidRPr="00E37732">
              <w:rPr>
                <w:szCs w:val="24"/>
              </w:rPr>
              <w:t>6:641 Installationer för spillvatten</w:t>
            </w:r>
          </w:p>
          <w:p w:rsidR="00E37732" w:rsidRPr="00E37732" w:rsidRDefault="00E37732" w:rsidP="00E377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37732">
              <w:rPr>
                <w:szCs w:val="24"/>
              </w:rPr>
              <w:t>Olje- och</w:t>
            </w:r>
            <w:r>
              <w:rPr>
                <w:szCs w:val="24"/>
              </w:rPr>
              <w:t xml:space="preserve"> </w:t>
            </w:r>
            <w:r w:rsidRPr="00E37732">
              <w:rPr>
                <w:szCs w:val="24"/>
              </w:rPr>
              <w:t>bensinavskiljare kan utformas</w:t>
            </w:r>
            <w:r>
              <w:rPr>
                <w:szCs w:val="24"/>
              </w:rPr>
              <w:t xml:space="preserve"> </w:t>
            </w:r>
            <w:r w:rsidRPr="00E37732">
              <w:rPr>
                <w:szCs w:val="24"/>
              </w:rPr>
              <w:t xml:space="preserve">enligt SS-EN </w:t>
            </w:r>
            <w:proofErr w:type="gramStart"/>
            <w:r w:rsidRPr="00E37732">
              <w:rPr>
                <w:szCs w:val="24"/>
              </w:rPr>
              <w:t>858-2</w:t>
            </w:r>
            <w:proofErr w:type="gramEnd"/>
            <w:r w:rsidRPr="00E37732">
              <w:rPr>
                <w:szCs w:val="24"/>
              </w:rPr>
              <w:t>.</w:t>
            </w: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CF67B9" w:rsidRPr="00F9309E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CF67B9" w:rsidRPr="00523936" w:rsidRDefault="00CF67B9" w:rsidP="005D434A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2"/>
          </w:tcPr>
          <w:p w:rsidR="00CF67B9" w:rsidRPr="00EC68D2" w:rsidRDefault="00CF67B9" w:rsidP="004C234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CF67B9">
        <w:trPr>
          <w:trHeight w:val="1359"/>
        </w:trPr>
        <w:tc>
          <w:tcPr>
            <w:tcW w:w="5869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bookmarkStart w:id="0" w:name="_GoBack"/>
          <w:bookmarkEnd w:id="0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C23C4" wp14:editId="1C74CE1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92B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38241" wp14:editId="2F78C4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CF0BC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51" w:rsidRDefault="00514251" w:rsidP="001A57E5">
      <w:r>
        <w:separator/>
      </w:r>
    </w:p>
  </w:endnote>
  <w:endnote w:type="continuationSeparator" w:id="0">
    <w:p w:rsidR="00514251" w:rsidRDefault="00514251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51" w:rsidRDefault="00514251" w:rsidP="001A57E5">
      <w:r>
        <w:separator/>
      </w:r>
    </w:p>
  </w:footnote>
  <w:footnote w:type="continuationSeparator" w:id="0">
    <w:p w:rsidR="00514251" w:rsidRDefault="00514251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0B"/>
    <w:rsid w:val="001A57E5"/>
    <w:rsid w:val="001C3D7C"/>
    <w:rsid w:val="001D137E"/>
    <w:rsid w:val="003A4B45"/>
    <w:rsid w:val="00514251"/>
    <w:rsid w:val="00573604"/>
    <w:rsid w:val="005838A9"/>
    <w:rsid w:val="005C4EA7"/>
    <w:rsid w:val="005D434A"/>
    <w:rsid w:val="00621639"/>
    <w:rsid w:val="007652A0"/>
    <w:rsid w:val="009263FA"/>
    <w:rsid w:val="009F3207"/>
    <w:rsid w:val="00B17A81"/>
    <w:rsid w:val="00B92BCC"/>
    <w:rsid w:val="00CF67B9"/>
    <w:rsid w:val="00DF4E8E"/>
    <w:rsid w:val="00E37732"/>
    <w:rsid w:val="00E81A3A"/>
    <w:rsid w:val="00EB160B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16A3"/>
  <w15:docId w15:val="{8BB35C11-58CB-45A4-918D-DB322661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4</cp:revision>
  <cp:lastPrinted>2017-02-13T08:31:00Z</cp:lastPrinted>
  <dcterms:created xsi:type="dcterms:W3CDTF">2019-01-30T14:17:00Z</dcterms:created>
  <dcterms:modified xsi:type="dcterms:W3CDTF">2020-03-04T08:33:00Z</dcterms:modified>
</cp:coreProperties>
</file>